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ИНФОРМАЦИЯ О РАССМОТРЕНИИ ОБРАЩЕНИЙ ГРАЖДАН В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>ГОСТИЦКОМ СЕЛЬСКОМ ПОСЕЛЕНИИ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За </w:t>
      </w:r>
      <w:r w:rsidR="00734B02">
        <w:rPr>
          <w:rFonts w:ascii="Calibri" w:eastAsia="Calibri" w:hAnsi="Calibri" w:cs="Times New Roman"/>
          <w:b/>
          <w:bCs/>
          <w:sz w:val="24"/>
          <w:szCs w:val="24"/>
        </w:rPr>
        <w:t>3</w:t>
      </w:r>
      <w:r w:rsidRPr="00CD0235">
        <w:rPr>
          <w:rFonts w:ascii="Calibri" w:eastAsia="Calibri" w:hAnsi="Calibri" w:cs="Times New Roman"/>
          <w:b/>
          <w:bCs/>
          <w:sz w:val="24"/>
          <w:szCs w:val="24"/>
        </w:rPr>
        <w:t xml:space="preserve"> квартал 2015 года </w:t>
      </w:r>
    </w:p>
    <w:p w:rsidR="00CD0235" w:rsidRPr="00CD0235" w:rsidRDefault="00CD0235" w:rsidP="00CD023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W w:w="1722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2869"/>
        <w:gridCol w:w="1435"/>
        <w:gridCol w:w="1436"/>
        <w:gridCol w:w="2874"/>
        <w:gridCol w:w="8606"/>
      </w:tblGrid>
      <w:tr w:rsidR="00CD0235" w:rsidRPr="00CD0235" w:rsidTr="00CD0235">
        <w:trPr>
          <w:trHeight w:val="115"/>
        </w:trPr>
        <w:tc>
          <w:tcPr>
            <w:tcW w:w="8617" w:type="dxa"/>
            <w:gridSpan w:val="4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5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Всего обращений: </w:t>
            </w:r>
          </w:p>
        </w:tc>
        <w:tc>
          <w:tcPr>
            <w:tcW w:w="2875" w:type="dxa"/>
            <w:hideMark/>
          </w:tcPr>
          <w:p w:rsidR="00CD0235" w:rsidRPr="00CD0235" w:rsidRDefault="00734B0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2</w:t>
            </w:r>
            <w:r w:rsidR="00CD0235"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Поступило письменных обращений: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734B0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доложено руководителю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734B0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с выездом на место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взято на контроль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734B02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коллегиально </w:t>
            </w:r>
          </w:p>
        </w:tc>
        <w:tc>
          <w:tcPr>
            <w:tcW w:w="4311" w:type="dxa"/>
            <w:gridSpan w:val="2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повторные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4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II.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По рассмотренным обращениям: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вопросы решены положительно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меры приняты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даны разъяснения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734B02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отказано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Рассмотрено обращений с нарушением срока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416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Количество жалоб, в которых подтвердились приведённые факты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715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жалоб, по результатам рассмотрения которых виновные в нарушении прав граждан наказаны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Количество судебных исков по жалобам о нарушении прав авторов при рассмотрении обращений                              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117"/>
        </w:trPr>
        <w:tc>
          <w:tcPr>
            <w:tcW w:w="4306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431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564"/>
        </w:trPr>
        <w:tc>
          <w:tcPr>
            <w:tcW w:w="2871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III. </w:t>
            </w:r>
          </w:p>
        </w:tc>
        <w:tc>
          <w:tcPr>
            <w:tcW w:w="2871" w:type="dxa"/>
            <w:gridSpan w:val="2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Количество обращений граждан по вопросам коррупционных проявлений: </w:t>
            </w:r>
          </w:p>
        </w:tc>
        <w:tc>
          <w:tcPr>
            <w:tcW w:w="2875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в </w:t>
            </w:r>
            <w:proofErr w:type="spellStart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т.ч</w:t>
            </w:r>
            <w:proofErr w:type="spellEnd"/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 xml:space="preserve">. по которым доводы заявителей подтвердились 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IV.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Типовые причины,</w:t>
            </w:r>
          </w:p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порождающие обоснованные жалобы: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645"/>
        </w:trPr>
        <w:tc>
          <w:tcPr>
            <w:tcW w:w="86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Ненадлежащее исполнение служебных обязанностей должностными лицами государственных органов власти (органов местного самоуправления)</w:t>
            </w:r>
          </w:p>
        </w:tc>
        <w:tc>
          <w:tcPr>
            <w:tcW w:w="8609" w:type="dxa"/>
            <w:vMerge w:val="restart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348"/>
        </w:trPr>
        <w:tc>
          <w:tcPr>
            <w:tcW w:w="86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недостатки в работе по предоставлению муниципальных услуг населению</w:t>
            </w:r>
          </w:p>
        </w:tc>
        <w:tc>
          <w:tcPr>
            <w:tcW w:w="8609" w:type="dxa"/>
            <w:vMerge/>
            <w:vAlign w:val="center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непринятие во внимание государственными органами власти (органами местного самоуправления) законных интересов граждан при исполнении своих функций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недостаточная информированность населения по вопросам предоставлению муниципальных услуг</w:t>
            </w:r>
          </w:p>
        </w:tc>
        <w:tc>
          <w:tcPr>
            <w:tcW w:w="8609" w:type="dxa"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низкая правовая грамотность населения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CD0235" w:rsidRPr="00CD0235" w:rsidTr="00CD0235">
        <w:trPr>
          <w:trHeight w:val="266"/>
        </w:trPr>
        <w:tc>
          <w:tcPr>
            <w:tcW w:w="8617" w:type="dxa"/>
            <w:gridSpan w:val="4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D0235">
              <w:rPr>
                <w:rFonts w:ascii="Calibri" w:eastAsia="Calibri" w:hAnsi="Calibri" w:cs="Times New Roman"/>
                <w:sz w:val="24"/>
                <w:szCs w:val="24"/>
              </w:rPr>
              <w:t>другие</w:t>
            </w:r>
          </w:p>
        </w:tc>
        <w:tc>
          <w:tcPr>
            <w:tcW w:w="8609" w:type="dxa"/>
            <w:hideMark/>
          </w:tcPr>
          <w:p w:rsidR="00CD0235" w:rsidRPr="00CD0235" w:rsidRDefault="00CD0235" w:rsidP="00CD0235">
            <w:pPr>
              <w:spacing w:line="252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sz w:val="24"/>
          <w:szCs w:val="24"/>
        </w:rPr>
        <w:t xml:space="preserve">Ведущий специалист </w:t>
      </w:r>
      <w:proofErr w:type="spellStart"/>
      <w:r w:rsidRPr="00CD0235">
        <w:rPr>
          <w:rFonts w:ascii="Calibri" w:eastAsia="Calibri" w:hAnsi="Calibri" w:cs="Times New Roman"/>
          <w:sz w:val="24"/>
          <w:szCs w:val="24"/>
        </w:rPr>
        <w:t>Сусаенок</w:t>
      </w:r>
      <w:proofErr w:type="spellEnd"/>
      <w:r w:rsidRPr="00CD0235">
        <w:rPr>
          <w:rFonts w:ascii="Calibri" w:eastAsia="Calibri" w:hAnsi="Calibri" w:cs="Times New Roman"/>
          <w:sz w:val="24"/>
          <w:szCs w:val="24"/>
        </w:rPr>
        <w:t xml:space="preserve"> О.Н.</w:t>
      </w:r>
    </w:p>
    <w:p w:rsidR="00CD0235" w:rsidRPr="00CD0235" w:rsidRDefault="00CD0235" w:rsidP="00CD023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0235">
        <w:rPr>
          <w:rFonts w:ascii="Calibri" w:eastAsia="Calibri" w:hAnsi="Calibri" w:cs="Times New Roman"/>
          <w:sz w:val="24"/>
          <w:szCs w:val="24"/>
        </w:rPr>
        <w:t>0</w:t>
      </w:r>
      <w:r w:rsidR="00734B02">
        <w:rPr>
          <w:rFonts w:ascii="Calibri" w:eastAsia="Calibri" w:hAnsi="Calibri" w:cs="Times New Roman"/>
          <w:sz w:val="24"/>
          <w:szCs w:val="24"/>
        </w:rPr>
        <w:t>5</w:t>
      </w:r>
      <w:bookmarkStart w:id="0" w:name="_GoBack"/>
      <w:bookmarkEnd w:id="0"/>
      <w:r w:rsidRPr="00CD0235">
        <w:rPr>
          <w:rFonts w:ascii="Calibri" w:eastAsia="Calibri" w:hAnsi="Calibri" w:cs="Times New Roman"/>
          <w:sz w:val="24"/>
          <w:szCs w:val="24"/>
        </w:rPr>
        <w:t>.</w:t>
      </w:r>
      <w:r w:rsidR="00734B02">
        <w:rPr>
          <w:rFonts w:ascii="Calibri" w:eastAsia="Calibri" w:hAnsi="Calibri" w:cs="Times New Roman"/>
          <w:sz w:val="24"/>
          <w:szCs w:val="24"/>
        </w:rPr>
        <w:t>10</w:t>
      </w:r>
      <w:r w:rsidRPr="00CD0235">
        <w:rPr>
          <w:rFonts w:ascii="Calibri" w:eastAsia="Calibri" w:hAnsi="Calibri" w:cs="Times New Roman"/>
          <w:sz w:val="24"/>
          <w:szCs w:val="24"/>
        </w:rPr>
        <w:t>.2015</w:t>
      </w: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CD0235" w:rsidRPr="00CD0235" w:rsidRDefault="00CD0235" w:rsidP="00CD0235">
      <w:pPr>
        <w:spacing w:line="252" w:lineRule="auto"/>
        <w:rPr>
          <w:rFonts w:ascii="Calibri" w:eastAsia="Calibri" w:hAnsi="Calibri" w:cs="Times New Roman"/>
        </w:rPr>
      </w:pPr>
    </w:p>
    <w:p w:rsidR="002D2F14" w:rsidRDefault="00734B02"/>
    <w:sectPr w:rsidR="002D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35"/>
    <w:rsid w:val="000A1EE6"/>
    <w:rsid w:val="00312D56"/>
    <w:rsid w:val="00734B02"/>
    <w:rsid w:val="00CD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F159"/>
  <w15:chartTrackingRefBased/>
  <w15:docId w15:val="{C91C1125-CD76-4CBD-A23A-B15222E7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2016-04-13T08:24:00Z</dcterms:created>
  <dcterms:modified xsi:type="dcterms:W3CDTF">2016-04-13T08:47:00Z</dcterms:modified>
</cp:coreProperties>
</file>